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紫城镇拆除猪场和复绿工程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A2B4851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1E02CCA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2021-06-25T08:29:50Z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5300A42D9B2E48B5A9C0710ACEE1920A</vt:lpwstr>
  </property>
</Properties>
</file>